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8D62" w14:textId="77777777" w:rsidR="00B17B28" w:rsidRDefault="00B17B28" w:rsidP="00A8644B">
      <w:pPr>
        <w:jc w:val="center"/>
        <w:rPr>
          <w:rFonts w:ascii="Arial" w:hAnsi="Arial" w:cs="Arial"/>
          <w:b/>
          <w:sz w:val="40"/>
          <w:szCs w:val="40"/>
        </w:rPr>
      </w:pPr>
    </w:p>
    <w:p w14:paraId="3463B33B" w14:textId="77777777" w:rsidR="00AB3D39" w:rsidRPr="00B17B28" w:rsidRDefault="00AB3D39" w:rsidP="00A8644B">
      <w:pPr>
        <w:jc w:val="center"/>
        <w:rPr>
          <w:rFonts w:ascii="Arial" w:hAnsi="Arial" w:cs="Arial"/>
          <w:b/>
          <w:sz w:val="40"/>
          <w:szCs w:val="40"/>
        </w:rPr>
      </w:pPr>
      <w:r w:rsidRPr="00B17B28">
        <w:rPr>
          <w:rFonts w:ascii="Arial" w:hAnsi="Arial" w:cs="Arial"/>
          <w:b/>
          <w:sz w:val="40"/>
          <w:szCs w:val="40"/>
        </w:rPr>
        <w:t>PUBLIC NOTICE</w:t>
      </w:r>
    </w:p>
    <w:p w14:paraId="6FDFB4F9" w14:textId="77777777" w:rsidR="00A8644B" w:rsidRPr="00A8644B" w:rsidRDefault="00A8644B" w:rsidP="00A8644B">
      <w:pPr>
        <w:jc w:val="center"/>
        <w:rPr>
          <w:rFonts w:ascii="Arial" w:hAnsi="Arial" w:cs="Arial"/>
          <w:b/>
          <w:sz w:val="32"/>
          <w:szCs w:val="32"/>
        </w:rPr>
      </w:pPr>
    </w:p>
    <w:p w14:paraId="742EACCA" w14:textId="77777777" w:rsidR="00AB3D39" w:rsidRPr="00A8644B" w:rsidRDefault="00AB3D39">
      <w:pPr>
        <w:rPr>
          <w:rFonts w:ascii="Arial" w:hAnsi="Arial" w:cs="Arial"/>
          <w:b/>
          <w:sz w:val="32"/>
          <w:szCs w:val="32"/>
          <w:u w:val="single"/>
        </w:rPr>
      </w:pPr>
      <w:r w:rsidRPr="00A8644B">
        <w:rPr>
          <w:rFonts w:ascii="Arial" w:hAnsi="Arial" w:cs="Arial"/>
          <w:b/>
          <w:sz w:val="32"/>
          <w:szCs w:val="32"/>
          <w:u w:val="single"/>
        </w:rPr>
        <w:t>Hackney Carriage Fares</w:t>
      </w:r>
    </w:p>
    <w:p w14:paraId="3DA7B6CC" w14:textId="77777777" w:rsidR="00AB3D39" w:rsidRPr="00A8644B" w:rsidRDefault="00AB3D39">
      <w:pPr>
        <w:rPr>
          <w:rFonts w:ascii="Arial" w:hAnsi="Arial" w:cs="Arial"/>
          <w:b/>
          <w:sz w:val="32"/>
          <w:szCs w:val="32"/>
          <w:u w:val="single"/>
        </w:rPr>
      </w:pPr>
      <w:r w:rsidRPr="00A8644B">
        <w:rPr>
          <w:rFonts w:ascii="Arial" w:hAnsi="Arial" w:cs="Arial"/>
          <w:b/>
          <w:sz w:val="32"/>
          <w:szCs w:val="32"/>
          <w:u w:val="single"/>
        </w:rPr>
        <w:t xml:space="preserve">Section 65 of the Local Government (Miscellaneous Provisions) Act 1976 </w:t>
      </w:r>
    </w:p>
    <w:p w14:paraId="661C7BDC" w14:textId="77777777" w:rsidR="00CC1433" w:rsidRPr="00A8644B" w:rsidRDefault="00AB3D39">
      <w:pPr>
        <w:rPr>
          <w:rFonts w:ascii="Arial" w:hAnsi="Arial" w:cs="Arial"/>
          <w:sz w:val="32"/>
          <w:szCs w:val="32"/>
        </w:rPr>
      </w:pPr>
      <w:r w:rsidRPr="00A8644B">
        <w:rPr>
          <w:rFonts w:ascii="Arial" w:hAnsi="Arial" w:cs="Arial"/>
          <w:sz w:val="32"/>
          <w:szCs w:val="32"/>
        </w:rPr>
        <w:t xml:space="preserve">NOTICE is </w:t>
      </w:r>
      <w:r w:rsidRPr="00A8644B">
        <w:rPr>
          <w:rFonts w:ascii="Arial" w:hAnsi="Arial" w:cs="Arial"/>
          <w:sz w:val="32"/>
          <w:szCs w:val="32"/>
        </w:rPr>
        <w:t>hereby</w:t>
      </w:r>
      <w:r w:rsidRPr="00A8644B">
        <w:rPr>
          <w:rFonts w:ascii="Arial" w:hAnsi="Arial" w:cs="Arial"/>
          <w:sz w:val="32"/>
          <w:szCs w:val="32"/>
        </w:rPr>
        <w:t xml:space="preserve"> given that </w:t>
      </w:r>
      <w:r w:rsidRPr="00A8644B">
        <w:rPr>
          <w:rFonts w:ascii="Arial" w:hAnsi="Arial" w:cs="Arial"/>
          <w:sz w:val="32"/>
          <w:szCs w:val="32"/>
        </w:rPr>
        <w:t>South Ribble Borough Council</w:t>
      </w:r>
      <w:r w:rsidRPr="00A8644B">
        <w:rPr>
          <w:rFonts w:ascii="Arial" w:hAnsi="Arial" w:cs="Arial"/>
          <w:sz w:val="32"/>
          <w:szCs w:val="32"/>
        </w:rPr>
        <w:t xml:space="preserve"> </w:t>
      </w:r>
      <w:r w:rsidRPr="00A8644B">
        <w:rPr>
          <w:rFonts w:ascii="Arial" w:hAnsi="Arial" w:cs="Arial"/>
          <w:sz w:val="32"/>
          <w:szCs w:val="32"/>
        </w:rPr>
        <w:t>has been requested</w:t>
      </w:r>
      <w:r w:rsidRPr="00A8644B">
        <w:rPr>
          <w:rFonts w:ascii="Arial" w:hAnsi="Arial" w:cs="Arial"/>
          <w:sz w:val="32"/>
          <w:szCs w:val="32"/>
        </w:rPr>
        <w:t xml:space="preserve"> to vary the Hackney Carriage tariff fares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3D39" w:rsidRPr="00A8644B" w14:paraId="1AE66996" w14:textId="77777777" w:rsidTr="00AB3D39">
        <w:tc>
          <w:tcPr>
            <w:tcW w:w="3005" w:type="dxa"/>
          </w:tcPr>
          <w:p w14:paraId="6DC89943" w14:textId="77777777" w:rsidR="00AB3D39" w:rsidRPr="00C75764" w:rsidRDefault="00AB3D39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</w:p>
        </w:tc>
        <w:tc>
          <w:tcPr>
            <w:tcW w:w="3005" w:type="dxa"/>
          </w:tcPr>
          <w:p w14:paraId="43AC8039" w14:textId="77777777" w:rsidR="00AB3D39" w:rsidRPr="00C75764" w:rsidRDefault="00AB3D3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75764">
              <w:rPr>
                <w:rFonts w:ascii="Arial" w:hAnsi="Arial" w:cs="Arial"/>
                <w:b/>
                <w:sz w:val="32"/>
                <w:szCs w:val="32"/>
              </w:rPr>
              <w:t xml:space="preserve">Current charge </w:t>
            </w:r>
          </w:p>
        </w:tc>
        <w:tc>
          <w:tcPr>
            <w:tcW w:w="3006" w:type="dxa"/>
          </w:tcPr>
          <w:p w14:paraId="4BBFDF4D" w14:textId="77777777" w:rsidR="00AB3D39" w:rsidRPr="00C75764" w:rsidRDefault="00AB3D3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75764">
              <w:rPr>
                <w:rFonts w:ascii="Arial" w:hAnsi="Arial" w:cs="Arial"/>
                <w:b/>
                <w:sz w:val="32"/>
                <w:szCs w:val="32"/>
              </w:rPr>
              <w:t>New proposed charge</w:t>
            </w:r>
          </w:p>
        </w:tc>
      </w:tr>
      <w:tr w:rsidR="00C75764" w:rsidRPr="00A8644B" w14:paraId="010B0F2B" w14:textId="77777777" w:rsidTr="00AB3D39">
        <w:tc>
          <w:tcPr>
            <w:tcW w:w="3005" w:type="dxa"/>
            <w:vMerge w:val="restart"/>
          </w:tcPr>
          <w:p w14:paraId="146D6674" w14:textId="77777777" w:rsidR="00C75764" w:rsidRPr="00A8644B" w:rsidRDefault="00C75764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For first two tenths of a mile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14:paraId="44002424" w14:textId="77777777" w:rsidR="00C75764" w:rsidRPr="00A8644B" w:rsidRDefault="00C75764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Tariff 1</w:t>
            </w:r>
            <w:r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Pr="00A8644B">
              <w:rPr>
                <w:rFonts w:ascii="Arial" w:hAnsi="Arial" w:cs="Arial"/>
                <w:sz w:val="32"/>
                <w:szCs w:val="32"/>
              </w:rPr>
              <w:t>2.20</w:t>
            </w:r>
          </w:p>
        </w:tc>
        <w:tc>
          <w:tcPr>
            <w:tcW w:w="3006" w:type="dxa"/>
          </w:tcPr>
          <w:p w14:paraId="5477552A" w14:textId="77777777" w:rsidR="00C75764" w:rsidRPr="00A8644B" w:rsidRDefault="00C75764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2.70</w:t>
            </w:r>
          </w:p>
        </w:tc>
      </w:tr>
      <w:tr w:rsidR="00C75764" w:rsidRPr="00A8644B" w14:paraId="35276005" w14:textId="77777777" w:rsidTr="00AB3D39">
        <w:tc>
          <w:tcPr>
            <w:tcW w:w="3005" w:type="dxa"/>
            <w:vMerge/>
          </w:tcPr>
          <w:p w14:paraId="20518F1C" w14:textId="77777777" w:rsidR="00C75764" w:rsidRPr="00A8644B" w:rsidRDefault="00C7576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14:paraId="73EBD845" w14:textId="77777777" w:rsidR="00C75764" w:rsidRPr="00A8644B" w:rsidRDefault="00C75764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Tariff 2</w:t>
            </w:r>
            <w:r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Pr="00A8644B">
              <w:rPr>
                <w:rFonts w:ascii="Arial" w:hAnsi="Arial" w:cs="Arial"/>
                <w:sz w:val="32"/>
                <w:szCs w:val="32"/>
              </w:rPr>
              <w:t>3.00</w:t>
            </w:r>
          </w:p>
        </w:tc>
        <w:tc>
          <w:tcPr>
            <w:tcW w:w="3006" w:type="dxa"/>
          </w:tcPr>
          <w:p w14:paraId="39D4D620" w14:textId="77777777" w:rsidR="00C75764" w:rsidRPr="00A8644B" w:rsidRDefault="00C75764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3.50</w:t>
            </w:r>
          </w:p>
        </w:tc>
      </w:tr>
      <w:tr w:rsidR="00C75764" w:rsidRPr="00A8644B" w14:paraId="7FFAB0DF" w14:textId="77777777" w:rsidTr="00AB3D39">
        <w:tc>
          <w:tcPr>
            <w:tcW w:w="3005" w:type="dxa"/>
            <w:vMerge/>
          </w:tcPr>
          <w:p w14:paraId="429B63DA" w14:textId="77777777" w:rsidR="00C75764" w:rsidRPr="00A8644B" w:rsidRDefault="00C7576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14:paraId="5E527956" w14:textId="77777777" w:rsidR="00C75764" w:rsidRPr="00A8644B" w:rsidRDefault="00C75764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Tariff 3</w:t>
            </w:r>
            <w:r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Pr="00A8644B">
              <w:rPr>
                <w:rFonts w:ascii="Arial" w:hAnsi="Arial" w:cs="Arial"/>
                <w:sz w:val="32"/>
                <w:szCs w:val="32"/>
              </w:rPr>
              <w:t>4.00</w:t>
            </w:r>
          </w:p>
        </w:tc>
        <w:tc>
          <w:tcPr>
            <w:tcW w:w="3006" w:type="dxa"/>
          </w:tcPr>
          <w:p w14:paraId="1D05BB99" w14:textId="77777777" w:rsidR="00C75764" w:rsidRPr="00A8644B" w:rsidRDefault="00C75764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4.50</w:t>
            </w:r>
          </w:p>
        </w:tc>
      </w:tr>
      <w:tr w:rsidR="00AB3D39" w:rsidRPr="00A8644B" w14:paraId="346A6F91" w14:textId="77777777" w:rsidTr="00AB3D39">
        <w:tc>
          <w:tcPr>
            <w:tcW w:w="3005" w:type="dxa"/>
          </w:tcPr>
          <w:p w14:paraId="4F60687A" w14:textId="77777777" w:rsidR="00AB3D39" w:rsidRPr="00A8644B" w:rsidRDefault="00AB3D39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 xml:space="preserve">Soiling Charge </w:t>
            </w:r>
          </w:p>
        </w:tc>
        <w:tc>
          <w:tcPr>
            <w:tcW w:w="3005" w:type="dxa"/>
          </w:tcPr>
          <w:p w14:paraId="4094E7C3" w14:textId="77777777" w:rsidR="00AB3D39" w:rsidRPr="00A8644B" w:rsidRDefault="00AB3D39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£40</w:t>
            </w:r>
          </w:p>
        </w:tc>
        <w:tc>
          <w:tcPr>
            <w:tcW w:w="3006" w:type="dxa"/>
          </w:tcPr>
          <w:p w14:paraId="2B8BFCB5" w14:textId="77777777" w:rsidR="00AB3D39" w:rsidRPr="00A8644B" w:rsidRDefault="00AB3D39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£100</w:t>
            </w:r>
          </w:p>
        </w:tc>
      </w:tr>
      <w:tr w:rsidR="00AB3D39" w:rsidRPr="00A8644B" w14:paraId="6957112D" w14:textId="77777777" w:rsidTr="00AB3D39">
        <w:tc>
          <w:tcPr>
            <w:tcW w:w="3005" w:type="dxa"/>
          </w:tcPr>
          <w:p w14:paraId="7246CFE9" w14:textId="77777777" w:rsidR="00AB3D39" w:rsidRPr="00A8644B" w:rsidRDefault="00AB3D39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 xml:space="preserve">Waiting time </w:t>
            </w:r>
          </w:p>
        </w:tc>
        <w:tc>
          <w:tcPr>
            <w:tcW w:w="3005" w:type="dxa"/>
          </w:tcPr>
          <w:p w14:paraId="21A30D5D" w14:textId="77777777" w:rsidR="00AB3D39" w:rsidRPr="00A8644B" w:rsidRDefault="00AB3D39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 xml:space="preserve">10p every 30 second </w:t>
            </w:r>
          </w:p>
        </w:tc>
        <w:tc>
          <w:tcPr>
            <w:tcW w:w="3006" w:type="dxa"/>
          </w:tcPr>
          <w:p w14:paraId="07447C09" w14:textId="77777777" w:rsidR="00AB3D39" w:rsidRPr="00A8644B" w:rsidRDefault="00AB3D39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 xml:space="preserve">10p every 20 seconds </w:t>
            </w:r>
          </w:p>
        </w:tc>
      </w:tr>
      <w:tr w:rsidR="00AB3D39" w:rsidRPr="00A8644B" w14:paraId="6D4F635C" w14:textId="77777777" w:rsidTr="00AB3D39">
        <w:tc>
          <w:tcPr>
            <w:tcW w:w="3005" w:type="dxa"/>
          </w:tcPr>
          <w:p w14:paraId="4C3AD61F" w14:textId="77777777" w:rsidR="00AB3D39" w:rsidRPr="00A8644B" w:rsidRDefault="00AB3D39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The additional charge for carrying dogs (excluding assistance dogs</w:t>
            </w:r>
            <w:r w:rsidRPr="00A8644B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3005" w:type="dxa"/>
          </w:tcPr>
          <w:p w14:paraId="083536E3" w14:textId="77777777" w:rsidR="00AB3D39" w:rsidRPr="00A8644B" w:rsidRDefault="00AB3D39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 xml:space="preserve">60p per dog </w:t>
            </w:r>
          </w:p>
        </w:tc>
        <w:tc>
          <w:tcPr>
            <w:tcW w:w="3006" w:type="dxa"/>
          </w:tcPr>
          <w:p w14:paraId="7C874AD9" w14:textId="77777777" w:rsidR="00AB3D39" w:rsidRPr="00A8644B" w:rsidRDefault="00AB3D39">
            <w:pPr>
              <w:rPr>
                <w:rFonts w:ascii="Arial" w:hAnsi="Arial" w:cs="Arial"/>
                <w:sz w:val="32"/>
                <w:szCs w:val="32"/>
              </w:rPr>
            </w:pPr>
            <w:r w:rsidRPr="00A8644B">
              <w:rPr>
                <w:rFonts w:ascii="Arial" w:hAnsi="Arial" w:cs="Arial"/>
                <w:sz w:val="32"/>
                <w:szCs w:val="32"/>
              </w:rPr>
              <w:t>£1 per dog</w:t>
            </w:r>
          </w:p>
        </w:tc>
      </w:tr>
    </w:tbl>
    <w:p w14:paraId="19A3BC6E" w14:textId="77777777" w:rsidR="00A8644B" w:rsidRPr="00A8644B" w:rsidRDefault="00A8644B">
      <w:pPr>
        <w:rPr>
          <w:rFonts w:ascii="Arial" w:hAnsi="Arial" w:cs="Arial"/>
          <w:sz w:val="32"/>
          <w:szCs w:val="32"/>
        </w:rPr>
      </w:pPr>
    </w:p>
    <w:p w14:paraId="3980931D" w14:textId="77777777" w:rsidR="00A8644B" w:rsidRPr="00A8644B" w:rsidRDefault="00A8644B">
      <w:pPr>
        <w:rPr>
          <w:rFonts w:ascii="Arial" w:hAnsi="Arial" w:cs="Arial"/>
          <w:sz w:val="20"/>
          <w:szCs w:val="20"/>
        </w:rPr>
      </w:pPr>
      <w:r w:rsidRPr="00A8644B">
        <w:rPr>
          <w:rFonts w:ascii="Arial" w:hAnsi="Arial" w:cs="Arial"/>
          <w:sz w:val="32"/>
          <w:szCs w:val="32"/>
        </w:rPr>
        <w:t xml:space="preserve">Any person wishing to object to the increase in Hackney Carriage tariff fares should do so in writing to </w:t>
      </w:r>
      <w:r>
        <w:rPr>
          <w:rFonts w:ascii="Arial" w:hAnsi="Arial" w:cs="Arial"/>
          <w:sz w:val="32"/>
          <w:szCs w:val="32"/>
        </w:rPr>
        <w:t>Licensing, Civic Centre, West Paddock, Leyland PR251DH</w:t>
      </w:r>
      <w:r w:rsidRPr="00A8644B">
        <w:rPr>
          <w:rFonts w:ascii="Arial" w:hAnsi="Arial" w:cs="Arial"/>
          <w:sz w:val="32"/>
          <w:szCs w:val="32"/>
        </w:rPr>
        <w:t>. Any objections must be received not later th</w:t>
      </w:r>
      <w:r w:rsidR="00B17B28">
        <w:rPr>
          <w:rFonts w:ascii="Arial" w:hAnsi="Arial" w:cs="Arial"/>
          <w:sz w:val="32"/>
          <w:szCs w:val="32"/>
        </w:rPr>
        <w:t>an 1</w:t>
      </w:r>
      <w:r w:rsidR="00B17B28" w:rsidRPr="00B17B28">
        <w:rPr>
          <w:rFonts w:ascii="Arial" w:hAnsi="Arial" w:cs="Arial"/>
          <w:sz w:val="32"/>
          <w:szCs w:val="32"/>
          <w:vertAlign w:val="superscript"/>
        </w:rPr>
        <w:t>st</w:t>
      </w:r>
      <w:r w:rsidR="00B17B28">
        <w:rPr>
          <w:rFonts w:ascii="Arial" w:hAnsi="Arial" w:cs="Arial"/>
          <w:sz w:val="32"/>
          <w:szCs w:val="32"/>
        </w:rPr>
        <w:t xml:space="preserve"> Feb 2022. </w:t>
      </w:r>
    </w:p>
    <w:sectPr w:rsidR="00A8644B" w:rsidRPr="00A864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A85B" w14:textId="77777777" w:rsidR="006550DA" w:rsidRDefault="006550DA" w:rsidP="00A8644B">
      <w:pPr>
        <w:spacing w:after="0" w:line="240" w:lineRule="auto"/>
      </w:pPr>
      <w:r>
        <w:separator/>
      </w:r>
    </w:p>
  </w:endnote>
  <w:endnote w:type="continuationSeparator" w:id="0">
    <w:p w14:paraId="5E6D5B47" w14:textId="77777777" w:rsidR="006550DA" w:rsidRDefault="006550DA" w:rsidP="00A8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D750" w14:textId="77777777" w:rsidR="006550DA" w:rsidRDefault="006550DA" w:rsidP="00A8644B">
      <w:pPr>
        <w:spacing w:after="0" w:line="240" w:lineRule="auto"/>
      </w:pPr>
      <w:r>
        <w:separator/>
      </w:r>
    </w:p>
  </w:footnote>
  <w:footnote w:type="continuationSeparator" w:id="0">
    <w:p w14:paraId="2E5C1032" w14:textId="77777777" w:rsidR="006550DA" w:rsidRDefault="006550DA" w:rsidP="00A8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A07F" w14:textId="77777777" w:rsidR="00A8644B" w:rsidRDefault="00A8644B">
    <w:pPr>
      <w:pStyle w:val="Header"/>
    </w:pPr>
    <w:r w:rsidRPr="00A8644B">
      <w:drawing>
        <wp:anchor distT="0" distB="0" distL="114300" distR="114300" simplePos="0" relativeHeight="251658240" behindDoc="0" locked="0" layoutInCell="1" allowOverlap="1" wp14:anchorId="114C55D8">
          <wp:simplePos x="0" y="0"/>
          <wp:positionH relativeFrom="column">
            <wp:posOffset>4162425</wp:posOffset>
          </wp:positionH>
          <wp:positionV relativeFrom="paragraph">
            <wp:posOffset>-249555</wp:posOffset>
          </wp:positionV>
          <wp:extent cx="2320925" cy="1141412"/>
          <wp:effectExtent l="0" t="0" r="0" b="0"/>
          <wp:wrapNone/>
          <wp:docPr id="8196" name="Picture 3">
            <a:extLst xmlns:a="http://schemas.openxmlformats.org/drawingml/2006/main">
              <a:ext uri="{FF2B5EF4-FFF2-40B4-BE49-F238E27FC236}">
                <a16:creationId xmlns:a16="http://schemas.microsoft.com/office/drawing/2014/main" id="{035116B6-188A-49AB-886F-B0972669DA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Picture 3">
                    <a:extLst>
                      <a:ext uri="{FF2B5EF4-FFF2-40B4-BE49-F238E27FC236}">
                        <a16:creationId xmlns:a16="http://schemas.microsoft.com/office/drawing/2014/main" id="{035116B6-188A-49AB-886F-B0972669DA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1141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39"/>
    <w:rsid w:val="00266041"/>
    <w:rsid w:val="006550DA"/>
    <w:rsid w:val="00A13F7D"/>
    <w:rsid w:val="00A8644B"/>
    <w:rsid w:val="00AB3D39"/>
    <w:rsid w:val="00B17B28"/>
    <w:rsid w:val="00C75764"/>
    <w:rsid w:val="00C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10C0"/>
  <w15:chartTrackingRefBased/>
  <w15:docId w15:val="{6B04D869-67B2-485D-A821-B7351BF9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4B"/>
  </w:style>
  <w:style w:type="paragraph" w:styleId="Footer">
    <w:name w:val="footer"/>
    <w:basedOn w:val="Normal"/>
    <w:link w:val="FooterChar"/>
    <w:uiPriority w:val="99"/>
    <w:unhideWhenUsed/>
    <w:rsid w:val="00A86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4B"/>
  </w:style>
  <w:style w:type="paragraph" w:styleId="BalloonText">
    <w:name w:val="Balloon Text"/>
    <w:basedOn w:val="Normal"/>
    <w:link w:val="BalloonTextChar"/>
    <w:uiPriority w:val="99"/>
    <w:semiHidden/>
    <w:unhideWhenUsed/>
    <w:rsid w:val="00A8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2</cp:revision>
  <dcterms:created xsi:type="dcterms:W3CDTF">2022-01-18T13:30:00Z</dcterms:created>
  <dcterms:modified xsi:type="dcterms:W3CDTF">2022-01-18T14:03:00Z</dcterms:modified>
</cp:coreProperties>
</file>